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</Types>
</file>

<file path=_rels/.rels><?xml version='1.0' encoding='UTF-8'?>
<Relationships xmlns="http://schemas.openxmlformats.org/package/2006/relationships"><Relationship Type="http://schemas.openxmlformats.org/officeDocument/2006/relationships/officeDocument" Target="word/document.xml" Id="R7e253f9675fc416d" /></Relationships>
</file>

<file path=word/document.xml><?xml version="1.0" encoding="utf-8"?>
<w:document xmlns:a="http://schemas.openxmlformats.org/drawingml/2006/main" xmlns:pic="http://schemas.openxmlformats.org/drawingml/2006/picture" xmlns:r="http://schemas.openxmlformats.org/officeDocument/2006/relationships" xmlns:w="http://schemas.openxmlformats.org/wordprocessingml/2006/main" xmlns:wp="http://schemas.openxmlformats.org/drawingml/2006/wordprocessingDrawing">
  <w:body>
    <w:p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0000" cy="10692000"/>
            <wp:effectExtent l="0" t="0" r="0" b="0"/>
            <wp:wrapNone/>
            <wp:docPr id="1" name="CoverB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CoverBg.png"/>
                    <pic:cNvPicPr/>
                  </pic:nvPicPr>
                  <pic:blipFill>
                    <a:blip r:embed="R413df8f8c29d423d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spacing w:before="4000"/>
      </w:pPr>
      <w:r/>
    </w:p>
    <w:p>
      <w:pPr>
        <w:spacing w:after="200"/>
        <w:ind w:left="1200" w:right="1200"/>
        <w:jc w:val="left"/>
      </w:pPr>
      <w:r>
        <w:rPr>
          <w:color w:val="00b4d8"/>
          <w:spacing w:val="60"/>
          <w:sz w:val="22"/>
        </w:rPr>
        <w:t>FIBRE CHANNEL SWITCH</w:t>
      </w:r>
    </w:p>
    <w:p>
      <w:pPr>
        <w:spacing w:after="120"/>
        <w:ind w:left="1200" w:right="1200"/>
        <w:jc w:val="left"/>
      </w:pPr>
      <w:r>
        <w:rPr>
          <w:b/>
          <w:color w:val="FFFFFF"/>
          <w:spacing w:val="30"/>
          <w:sz w:val="72"/>
        </w:rPr>
        <w:t>BR-G610-24-32G-0</w:t>
      </w:r>
    </w:p>
    <w:p>
      <w:pPr>
        <w:spacing w:after="600"/>
        <w:ind w:left="1200" w:right="1200"/>
        <w:jc w:val="left"/>
      </w:pPr>
      <w:r>
        <w:rPr>
          <w:color w:val="e2e8f0"/>
          <w:sz w:val="28"/>
        </w:rPr>
        <w:t>Brocade G610 24-Port Fibre Channel Switch</w:t>
      </w:r>
    </w:p>
    <w:p>
      <w:pPr>
        <w:spacing w:after="3000"/>
        <w:ind w:left="1200" w:right="1200"/>
        <w:jc w:val="left"/>
      </w:pPr>
      <w:r>
        <w:rPr>
          <w:color w:val="718096"/>
          <w:sz w:val="22"/>
        </w:rPr>
        <w:t>24-Port Switch with 24-Port Full Activation &amp; 24 x 32 Gbps SWL SFP+ Transceivers</w:t>
      </w:r>
    </w:p>
    <w:p>
      <w:pPr>
        <w:spacing w:after="60"/>
        <w:ind w:left="1200"/>
        <w:jc w:val="left"/>
      </w:pPr>
      <w:r>
        <w:rPr>
          <w:color w:val="718096"/>
          <w:sz w:val="20"/>
        </w:rPr>
        <w:t>www.Hi-Network.com</w:t>
      </w:r>
    </w:p>
    <w:p>
      <w:pPr>
        <w:ind w:left="1200"/>
        <w:jc w:val="left"/>
      </w:pPr>
      <w:r>
        <w:rPr>
          <w:color w:val="718096"/>
          <w:sz w:val="18"/>
        </w:rPr>
        <w:t>info@hi-network.com</w:t>
      </w:r>
    </w:p>
    <w:p>
      <w:pPr>
        <w:sectPr>
          <w:type w:val="nextPage"/>
          <w:pgSz w:w="11906" w:h="16838"/>
          <w:pgMar w:top="0" w:right="0" w:bottom="0" w:left="0" w:header="0" w:footer="0"/>
          <w:titlePg/>
        </w:sectPr>
      </w:pPr>
    </w:p>
    <w:p>
      <w:pPr>
        <w:pStyle w:val="Heading1"/>
      </w:pPr>
      <w:r>
        <w:t>Product Overview</w:t>
      </w:r>
    </w:p>
    <w:p>
      <w:pPr>
        <w:spacing w:after="160"/>
      </w:pPr>
      <w:r>
        <w:t>The Brocade G610 switch (Model: BR-G610-24-32G-0) is an affordable, flash-ready Fibre Channel switch that delivers enterprise-class availability for small to mid-sized businesses. Purpose-built for modern storage environments, it provides high-throughput, low-latency connectivity with the flexibility to scale on demand.</w:t>
      </w:r>
    </w:p>
    <w:p>
      <w:pPr>
        <w:spacing w:after="160"/>
      </w:pPr>
      <w:r>
        <w:t>This configuration includes all 24 active ports with 24 x 32 Gbps Shortwave (SWL) SFP+ transceivers pre-installed. All 24 ports are fully activated out of the box, delivering maximum connectivity and bandwidth for demanding storage environments.</w:t>
      </w:r>
    </w:p>
    <w:p>
      <w:pPr>
        <w:pStyle w:val="Heading2"/>
      </w:pPr>
      <w:r>
        <w:t>Key Highlights</w:t>
      </w:r>
    </w:p>
    <w:p>
      <w:pPr>
        <w:spacing w:after="80"/>
        <w:ind w:left="360" w:hanging="180"/>
      </w:pPr>
      <w:r>
        <w:rPr>
          <w:color w:val="00b4d8"/>
        </w:rPr>
        <w:t xml:space="preserve">•  </w:t>
      </w:r>
      <w:r>
        <w:t>Affordable Gen 6 Fibre Channel switch with all 24 ports activated and 24 x 32G SWL SFP+ transceivers</w:t>
      </w:r>
    </w:p>
    <w:p>
      <w:pPr>
        <w:spacing w:after="80"/>
        <w:ind w:left="360" w:hanging="180"/>
      </w:pPr>
      <w:r>
        <w:rPr>
          <w:color w:val="00b4d8"/>
        </w:rPr>
        <w:t xml:space="preserve">•  </w:t>
      </w:r>
      <w:r>
        <w:t>Flash-ready performance — seamlessly transition to next-generation NVMe flash arrays</w:t>
      </w:r>
    </w:p>
    <w:p>
      <w:pPr>
        <w:spacing w:after="80"/>
        <w:ind w:left="360" w:hanging="180"/>
      </w:pPr>
      <w:r>
        <w:rPr>
          <w:color w:val="00b4d8"/>
        </w:rPr>
        <w:t xml:space="preserve">•  </w:t>
      </w:r>
      <w:r>
        <w:t>Full 24-port activation delivers maximum port density and bandwidth out of the box</w:t>
      </w:r>
    </w:p>
    <w:p>
      <w:pPr>
        <w:spacing w:after="80"/>
        <w:ind w:left="360" w:hanging="180"/>
      </w:pPr>
      <w:r>
        <w:rPr>
          <w:color w:val="00b4d8"/>
        </w:rPr>
        <w:t xml:space="preserve">•  </w:t>
      </w:r>
      <w:r>
        <w:t>Enterprise-class reliability with Brocade Fabric Vision technology</w:t>
      </w:r>
    </w:p>
    <w:p>
      <w:pPr>
        <w:spacing w:after="80"/>
        <w:ind w:left="360" w:hanging="180"/>
      </w:pPr>
      <w:r>
        <w:rPr>
          <w:color w:val="00b4d8"/>
        </w:rPr>
        <w:t xml:space="preserve">•  </w:t>
      </w:r>
      <w:r>
        <w:t>Simple three-step installation with point-and-click user interface</w:t>
      </w:r>
    </w:p>
    <w:p>
      <w:pPr>
        <w:spacing w:after="80"/>
        <w:ind w:left="360" w:hanging="180"/>
      </w:pPr>
      <w:r>
        <w:rPr>
          <w:color w:val="00b4d8"/>
        </w:rPr>
        <w:t xml:space="preserve">•  </w:t>
      </w:r>
      <w:r>
        <w:t>768 Gb/s aggregate bandwidth with auto-sensing 4/8/16/32 Gbps port speeds</w:t>
      </w:r>
    </w:p>
    <w:p>
      <w:pPr>
        <w:pStyle w:val="Heading2"/>
      </w:pPr>
      <w:r>
        <w:t>Package Contents</w:t>
      </w:r>
    </w:p>
    <w:p>
      <w:pPr>
        <w:spacing w:after="80"/>
        <w:ind w:left="360" w:hanging="180"/>
      </w:pPr>
      <w:r>
        <w:rPr>
          <w:color w:val="00b4d8"/>
        </w:rPr>
        <w:t xml:space="preserve">•  </w:t>
      </w:r>
      <w:r>
        <w:t>Brocade G610 Switch with all 24 ports activated</w:t>
      </w:r>
    </w:p>
    <w:p>
      <w:pPr>
        <w:spacing w:after="80"/>
        <w:ind w:left="360" w:hanging="180"/>
      </w:pPr>
      <w:r>
        <w:rPr>
          <w:color w:val="00b4d8"/>
        </w:rPr>
        <w:t xml:space="preserve">•  </w:t>
      </w:r>
      <w:r>
        <w:t>24 x Brocade 32 Gbps SWL SFP+ transceivers (pre-installed)</w:t>
      </w:r>
    </w:p>
    <w:p>
      <w:pPr>
        <w:spacing w:after="80"/>
        <w:ind w:left="360" w:hanging="180"/>
      </w:pPr>
      <w:r>
        <w:rPr>
          <w:color w:val="00b4d8"/>
        </w:rPr>
        <w:t xml:space="preserve">•  </w:t>
      </w:r>
      <w:r>
        <w:t>1 x Fixed AC power supply with integrated cooling fans</w:t>
      </w:r>
    </w:p>
    <w:p>
      <w:pPr>
        <w:spacing w:after="80"/>
        <w:ind w:left="360" w:hanging="180"/>
      </w:pPr>
      <w:r>
        <w:rPr>
          <w:color w:val="00b4d8"/>
        </w:rPr>
        <w:t xml:space="preserve">•  </w:t>
      </w:r>
      <w:r>
        <w:t>Rack mount kit</w:t>
      </w:r>
    </w:p>
    <w:p>
      <w:pPr>
        <w:spacing w:after="80"/>
        <w:ind w:left="360" w:hanging="180"/>
      </w:pPr>
      <w:r>
        <w:rPr>
          <w:color w:val="00b4d8"/>
        </w:rPr>
        <w:t xml:space="preserve">•  </w:t>
      </w:r>
      <w:r>
        <w:t>Brocade Web Tools, Zoning, and EGM software license</w:t>
      </w:r>
    </w:p>
    <w:p>
      <w:pPr>
        <w:pageBreakBefore/>
      </w:pPr>
    </w:p>
    <w:p>
      <w:pPr>
        <w:pStyle w:val="Heading1"/>
      </w:pPr>
      <w:r>
        <w:t>Technical Specifications</w:t>
      </w:r>
    </w:p>
    <w:p>
      <w:pPr>
        <w:pStyle w:val="Heading2"/>
      </w:pPr>
      <w:r>
        <w:t>System Architecture</w:t>
      </w:r>
    </w:p>
    <w:tbl>
      <w:tblPr>
        <w:tblW w:w="5000" w:type="pct"/>
        <w:tblBorders>
          <w:top w:val="single" w:color="0077b6" w:sz="8"/>
          <w:left w:val="nil"/>
          <w:bottom w:val="single" w:color="0077b6" w:sz="8"/>
          <w:right w:val="nil"/>
          <w:insideH w:val="single" w:color="cbd5e0" w:sz="2"/>
        </w:tblBorders>
      </w:tblPr>
      <w:tblGrid>
        <w:gridCol w:w="3600"/>
        <w:gridCol w:w="5400"/>
      </w:tblGrid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Fibre Channel Ports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24 ports total, all 24 ports activated</w:t>
            </w:r>
          </w:p>
        </w:tc>
      </w:tr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Port Speeds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Auto-sensing 4, 8, 16, and 32 Gbps</w:t>
            </w:r>
          </w:p>
        </w:tc>
      </w:tr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Aggregate Bandwidth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768 Gb/s end-to-end full duplex</w:t>
            </w:r>
          </w:p>
        </w:tc>
      </w:tr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Maximum Fabric Latency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&lt; 780 ns (including FEC)</w:t>
            </w:r>
          </w:p>
        </w:tc>
      </w:tr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Maximum Frame Size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2,112-byte payload</w:t>
            </w:r>
          </w:p>
        </w:tc>
      </w:tr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Frame Buffers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2,000 dynamically allocated</w:t>
            </w:r>
          </w:p>
        </w:tc>
      </w:tr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Classes of Service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Class 2, Class 3, Class F (inter-switch frames)</w:t>
            </w:r>
          </w:p>
        </w:tc>
      </w:tr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Port Types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F_Port, E_Port, M_Port, D_Port (ClearLink Diagnostic)</w:t>
            </w:r>
          </w:p>
        </w:tc>
      </w:tr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Access Gateway Mode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F_Port and NPIV-enabled N_Port</w:t>
            </w:r>
          </w:p>
        </w:tc>
      </w:tr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Scalability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Full-fabric, maximum 239 switches</w:t>
            </w:r>
          </w:p>
        </w:tc>
      </w:tr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Certified Maximum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6,000 active nodes; 56 switches, 19 hops</w:t>
            </w:r>
          </w:p>
        </w:tc>
      </w:tr>
    </w:tbl>
    <w:p>
      <w:pPr>
        <w:pStyle w:val="Heading2"/>
      </w:pPr>
      <w:r>
        <w:t>ISL Trunking</w:t>
      </w:r>
    </w:p>
    <w:tbl>
      <w:tblPr>
        <w:tblW w:w="5000" w:type="pct"/>
        <w:tblBorders>
          <w:top w:val="single" w:color="0077b6" w:sz="8"/>
          <w:left w:val="nil"/>
          <w:bottom w:val="single" w:color="0077b6" w:sz="8"/>
          <w:right w:val="nil"/>
          <w:insideH w:val="single" w:color="cbd5e0" w:sz="2"/>
        </w:tblBorders>
      </w:tblPr>
      <w:tblGrid>
        <w:gridCol w:w="3600"/>
        <w:gridCol w:w="5400"/>
      </w:tblGrid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Frame-Based Trunking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Up to 8 x 32G SFP+ ports per ISL trunk</w:t>
            </w:r>
          </w:p>
        </w:tc>
      </w:tr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Maximum ISL Bandwidth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256 Gb/s per ISL trunk</w:t>
            </w:r>
          </w:p>
        </w:tc>
      </w:tr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Load Balancing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Exchange-based Dynamic Path Selection (DPS)</w:t>
            </w:r>
          </w:p>
        </w:tc>
      </w:tr>
    </w:tbl>
    <w:p>
      <w:pPr>
        <w:pStyle w:val="Heading2"/>
      </w:pPr>
      <w:r>
        <w:t>Physical Specifications</w:t>
      </w:r>
    </w:p>
    <w:tbl>
      <w:tblPr>
        <w:tblW w:w="5000" w:type="pct"/>
        <w:tblBorders>
          <w:top w:val="single" w:color="0077b6" w:sz="8"/>
          <w:left w:val="nil"/>
          <w:bottom w:val="single" w:color="0077b6" w:sz="8"/>
          <w:right w:val="nil"/>
          <w:insideH w:val="single" w:color="cbd5e0" w:sz="2"/>
        </w:tblBorders>
      </w:tblPr>
      <w:tblGrid>
        <w:gridCol w:w="3600"/>
        <w:gridCol w:w="5400"/>
      </w:tblGrid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Dimensions (W x H x D)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428.8 x 42.9 x 306.6 mm (16.88 x 1.69 x 12.07 in.)</w:t>
            </w:r>
          </w:p>
        </w:tc>
      </w:tr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Weight (without transceivers)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4.20 kg (9.26 lb)</w:t>
            </w:r>
          </w:p>
        </w:tc>
      </w:tr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Weight (fully populated)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4.80 kg (10.58 lb)</w:t>
            </w:r>
          </w:p>
        </w:tc>
      </w:tr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Rack Units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1U</w:t>
            </w:r>
          </w:p>
        </w:tc>
      </w:tr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Airflow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Port-side exhaust</w:t>
            </w:r>
          </w:p>
        </w:tc>
      </w:tr>
    </w:tbl>
    <w:p>
      <w:pPr>
        <w:pageBreakBefore/>
      </w:pPr>
    </w:p>
    <w:p>
      <w:pPr>
        <w:pStyle w:val="Heading1"/>
      </w:pPr>
      <w:r>
        <w:t>Features &amp; Management</w:t>
      </w:r>
    </w:p>
    <w:p>
      <w:pPr>
        <w:pStyle w:val="Heading2"/>
      </w:pPr>
      <w:r>
        <w:t>Advanced Features</w:t>
      </w:r>
    </w:p>
    <w:p>
      <w:pPr>
        <w:spacing w:after="80"/>
        <w:ind w:left="360" w:hanging="180"/>
      </w:pPr>
      <w:r>
        <w:rPr>
          <w:color w:val="00b4d8"/>
        </w:rPr>
        <w:t xml:space="preserve">•  </w:t>
      </w:r>
      <w:r>
        <w:t>ISL Trunking — Frame-based trunking with up to 256 Gb/s per ISL trunk</w:t>
      </w:r>
    </w:p>
    <w:p>
      <w:pPr>
        <w:spacing w:after="80"/>
        <w:ind w:left="360" w:hanging="180"/>
      </w:pPr>
      <w:r>
        <w:rPr>
          <w:color w:val="00b4d8"/>
        </w:rPr>
        <w:t xml:space="preserve">•  </w:t>
      </w:r>
      <w:r>
        <w:t>Dynamic Path Selection (DPS) — Automatic routing to the most efficient path</w:t>
      </w:r>
    </w:p>
    <w:p>
      <w:pPr>
        <w:spacing w:after="80"/>
        <w:ind w:left="360" w:hanging="180"/>
      </w:pPr>
      <w:r>
        <w:rPr>
          <w:color w:val="00b4d8"/>
        </w:rPr>
        <w:t xml:space="preserve">•  </w:t>
      </w:r>
      <w:r>
        <w:t>Fabric Vision — Proactive VM health monitoring and diagnostics</w:t>
      </w:r>
    </w:p>
    <w:p>
      <w:pPr>
        <w:spacing w:after="80"/>
        <w:ind w:left="360" w:hanging="180"/>
      </w:pPr>
      <w:r>
        <w:rPr>
          <w:color w:val="00b4d8"/>
        </w:rPr>
        <w:t xml:space="preserve">•  </w:t>
      </w:r>
      <w:r>
        <w:t>ClearLink Diagnostics — Optics and cable diagnostics with electrical/optical loopback</w:t>
      </w:r>
    </w:p>
    <w:p>
      <w:pPr>
        <w:spacing w:after="80"/>
        <w:ind w:left="360" w:hanging="180"/>
      </w:pPr>
      <w:r>
        <w:rPr>
          <w:color w:val="00b4d8"/>
        </w:rPr>
        <w:t xml:space="preserve">•  </w:t>
      </w:r>
      <w:r>
        <w:t>Forward Error Correction (FEC) — Recovery from bit errors on device connections and ISLs</w:t>
      </w:r>
    </w:p>
    <w:p>
      <w:pPr>
        <w:spacing w:after="80"/>
        <w:ind w:left="360" w:hanging="180"/>
      </w:pPr>
      <w:r>
        <w:rPr>
          <w:color w:val="00b4d8"/>
        </w:rPr>
        <w:t xml:space="preserve">•  </w:t>
      </w:r>
      <w:r>
        <w:t>Credit Loss Recovery — Overcomes performance degradation from buffer credit loss</w:t>
      </w:r>
    </w:p>
    <w:p>
      <w:pPr>
        <w:spacing w:after="80"/>
        <w:ind w:left="360" w:hanging="180"/>
      </w:pPr>
      <w:r>
        <w:rPr>
          <w:color w:val="00b4d8"/>
        </w:rPr>
        <w:t xml:space="preserve">•  </w:t>
      </w:r>
      <w:r>
        <w:t>Flow Mirroring — Non-disruptive capture of specific application flows for analysis</w:t>
      </w:r>
    </w:p>
    <w:p>
      <w:pPr>
        <w:spacing w:after="80"/>
        <w:ind w:left="360" w:hanging="180"/>
      </w:pPr>
      <w:r>
        <w:rPr>
          <w:color w:val="00b4d8"/>
        </w:rPr>
        <w:t xml:space="preserve">•  </w:t>
      </w:r>
      <w:r>
        <w:t>Built-in Flow Generator — Pretest and validate infrastructure before deployment</w:t>
      </w:r>
    </w:p>
    <w:p>
      <w:pPr>
        <w:pStyle w:val="Heading2"/>
      </w:pPr>
      <w:r>
        <w:t>Fabric Services</w:t>
      </w:r>
    </w:p>
    <w:p>
      <w:pPr>
        <w:spacing w:after="80"/>
        <w:ind w:left="360" w:hanging="180"/>
      </w:pPr>
      <w:r>
        <w:rPr>
          <w:color w:val="00b4d8"/>
        </w:rPr>
        <w:t xml:space="preserve">•  </w:t>
      </w:r>
      <w:r>
        <w:t>Brocade Advanced Zoning (default, Port/WWN, peer, target-driven zoning)</w:t>
      </w:r>
    </w:p>
    <w:p>
      <w:pPr>
        <w:spacing w:after="80"/>
        <w:ind w:left="360" w:hanging="180"/>
      </w:pPr>
      <w:r>
        <w:rPr>
          <w:color w:val="00b4d8"/>
        </w:rPr>
        <w:t xml:space="preserve">•  </w:t>
      </w:r>
      <w:r>
        <w:t>Dynamic Fabric Provisioning (DFP)</w:t>
      </w:r>
    </w:p>
    <w:p>
      <w:pPr>
        <w:spacing w:after="80"/>
        <w:ind w:left="360" w:hanging="180"/>
      </w:pPr>
      <w:r>
        <w:rPr>
          <w:color w:val="00b4d8"/>
        </w:rPr>
        <w:t xml:space="preserve">•  </w:t>
      </w:r>
      <w:r>
        <w:t>Fabric Performance Impact (FPI) Monitoring</w:t>
      </w:r>
    </w:p>
    <w:p>
      <w:pPr>
        <w:spacing w:after="80"/>
        <w:ind w:left="360" w:hanging="180"/>
      </w:pPr>
      <w:r>
        <w:rPr>
          <w:color w:val="00b4d8"/>
        </w:rPr>
        <w:t xml:space="preserve">•  </w:t>
      </w:r>
      <w:r>
        <w:t>Slow Drain Device Quarantine</w:t>
      </w:r>
    </w:p>
    <w:p>
      <w:pPr>
        <w:spacing w:after="80"/>
        <w:ind w:left="360" w:hanging="180"/>
      </w:pPr>
      <w:r>
        <w:rPr>
          <w:color w:val="00b4d8"/>
        </w:rPr>
        <w:t xml:space="preserve">•  </w:t>
      </w:r>
      <w:r>
        <w:t>Monitoring and Alerting Policy Suite (MAPS)</w:t>
      </w:r>
    </w:p>
    <w:p>
      <w:pPr>
        <w:spacing w:after="80"/>
        <w:ind w:left="360" w:hanging="180"/>
      </w:pPr>
      <w:r>
        <w:rPr>
          <w:color w:val="00b4d8"/>
        </w:rPr>
        <w:t xml:space="preserve">•  </w:t>
      </w:r>
      <w:r>
        <w:t>Flow Vision</w:t>
      </w:r>
    </w:p>
    <w:p>
      <w:pPr>
        <w:spacing w:after="80"/>
        <w:ind w:left="360" w:hanging="180"/>
      </w:pPr>
      <w:r>
        <w:rPr>
          <w:color w:val="00b4d8"/>
        </w:rPr>
        <w:t xml:space="preserve">•  </w:t>
      </w:r>
      <w:r>
        <w:t>VM Insight</w:t>
      </w:r>
    </w:p>
    <w:p>
      <w:pPr>
        <w:pStyle w:val="Heading2"/>
      </w:pPr>
      <w:r>
        <w:t>Management &amp; Security</w:t>
      </w:r>
    </w:p>
    <w:tbl>
      <w:tblPr>
        <w:tblW w:w="5000" w:type="pct"/>
        <w:tblBorders>
          <w:top w:val="single" w:color="0077b6" w:sz="8"/>
          <w:left w:val="nil"/>
          <w:bottom w:val="single" w:color="0077b6" w:sz="8"/>
          <w:right w:val="nil"/>
          <w:insideH w:val="single" w:color="cbd5e0" w:sz="2"/>
        </w:tblBorders>
      </w:tblPr>
      <w:tblGrid>
        <w:gridCol w:w="3600"/>
        <w:gridCol w:w="5400"/>
      </w:tblGrid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Management Access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10/100/1000 Mb/s Ethernet (RJ-45), in-band FC, Serial (RJ-45), USB</w:t>
            </w:r>
          </w:p>
        </w:tc>
      </w:tr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Management Software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Brocade SANnav, Web Tools, CLI, RESTful API</w:t>
            </w:r>
          </w:p>
        </w:tc>
      </w:tr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Protocols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HTTP/HTTPS, SNMP v1/v3, SSH, SMI-S</w:t>
            </w:r>
          </w:p>
        </w:tc>
      </w:tr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Authentication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DH-CHAP, FCAP, RADIUS, TACACS+, LDAP, RBAC</w:t>
            </w:r>
          </w:p>
        </w:tc>
      </w:tr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Security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IPsec, IP filtering, Port Binding, SSH v2, SSL, SFTP, SCP</w:t>
            </w:r>
          </w:p>
        </w:tc>
      </w:tr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USB Port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1 x USB for log file download and firmware upgrades</w:t>
            </w:r>
          </w:p>
        </w:tc>
      </w:tr>
    </w:tbl>
    <w:p>
      <w:pPr>
        <w:pageBreakBefore/>
      </w:pPr>
    </w:p>
    <w:p>
      <w:pPr>
        <w:pStyle w:val="Heading1"/>
      </w:pPr>
      <w:r>
        <w:t>Environmental &amp; Power</w:t>
      </w:r>
    </w:p>
    <w:tbl>
      <w:tblPr>
        <w:tblW w:w="5000" w:type="pct"/>
        <w:tblBorders>
          <w:top w:val="single" w:color="0077b6" w:sz="8"/>
          <w:left w:val="nil"/>
          <w:bottom w:val="single" w:color="0077b6" w:sz="8"/>
          <w:right w:val="nil"/>
          <w:insideH w:val="single" w:color="cbd5e0" w:sz="2"/>
        </w:tblBorders>
      </w:tblPr>
      <w:tblGrid>
        <w:gridCol w:w="3600"/>
        <w:gridCol w:w="5400"/>
      </w:tblGrid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Power Supply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Single, fixed power supply with 4 integrated cooling fans</w:t>
            </w:r>
          </w:p>
        </w:tc>
      </w:tr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AC Input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90 V to 264 V ~ 3.5A</w:t>
            </w:r>
          </w:p>
        </w:tc>
      </w:tr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Max Input Current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2.2A</w:t>
            </w:r>
          </w:p>
        </w:tc>
      </w:tr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Power Consumption (Max)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76.52W (all 24 ports with 32G optics)</w:t>
            </w:r>
          </w:p>
        </w:tc>
      </w:tr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Power Consumption (Idle)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55.83W (optics loaded, not initialized)</w:t>
            </w:r>
          </w:p>
        </w:tc>
      </w:tr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Heat Dissipation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215 BTU/hr (24 ports at max)</w:t>
            </w:r>
          </w:p>
        </w:tc>
      </w:tr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Operating Temperature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0°C to 40°C (32°F to 104°F)</w:t>
            </w:r>
          </w:p>
        </w:tc>
      </w:tr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Operating Humidity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10% to 85% (non-condensing)</w:t>
            </w:r>
          </w:p>
        </w:tc>
      </w:tr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Non-Operating Temp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-25°C to 70°C (-13°F to 158°F)</w:t>
            </w:r>
          </w:p>
        </w:tc>
      </w:tr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Operating Altitude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Up to 3,000 m (9,842 ft)</w:t>
            </w:r>
          </w:p>
        </w:tc>
      </w:tr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Operating Vibration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0.5g sine, 0.4 grms random, 5 Hz to 500 Hz</w:t>
            </w:r>
          </w:p>
        </w:tc>
      </w:tr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Operating Shock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Up to 20 G, 6 ms half-sine</w:t>
            </w:r>
          </w:p>
        </w:tc>
      </w:tr>
    </w:tbl>
    <w:p>
      <w:pPr>
        <w:pStyle w:val="Heading1"/>
      </w:pPr>
      <w:r>
        <w:t>Ordering Information</w:t>
      </w:r>
    </w:p>
    <w:tbl>
      <w:tblPr>
        <w:tblW w:w="5000" w:type="pct"/>
        <w:tblBorders>
          <w:top w:val="single" w:color="0077b6" w:sz="8"/>
          <w:left w:val="nil"/>
          <w:bottom w:val="single" w:color="0077b6" w:sz="8"/>
          <w:right w:val="nil"/>
          <w:insideH w:val="single" w:color="cbd5e0" w:sz="2"/>
        </w:tblBorders>
      </w:tblPr>
      <w:tblGrid>
        <w:gridCol w:w="3600"/>
        <w:gridCol w:w="5400"/>
      </w:tblGrid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Part Number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BR-G610-24-32G-0</w:t>
            </w:r>
          </w:p>
        </w:tc>
      </w:tr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Description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Brocade G610, 24-port switch, full 24-port activation with 24 x 32 Gbps SWL SFP+ transceivers</w:t>
            </w:r>
          </w:p>
        </w:tc>
      </w:tr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Generation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Gen 6 Fibre Channel</w:t>
            </w:r>
          </w:p>
        </w:tc>
      </w:tr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Lifecycle Status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Active</w:t>
            </w:r>
          </w:p>
        </w:tc>
      </w:tr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Certifications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CE, SA, KCC</w:t>
            </w:r>
          </w:p>
        </w:tc>
      </w:tr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Country of Origin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Czech Republic</w:t>
            </w:r>
          </w:p>
        </w:tc>
      </w:tr>
    </w:tbl>
    <w:p>
      <w:pPr>
        <w:pStyle w:val="Heading2"/>
      </w:pPr>
      <w:r>
        <w:t>Related Accessories</w:t>
      </w:r>
    </w:p>
    <w:p>
      <w:pPr>
        <w:spacing w:after="80"/>
        <w:ind w:left="360" w:hanging="180"/>
      </w:pPr>
      <w:r>
        <w:rPr>
          <w:color w:val="00b4d8"/>
        </w:rPr>
        <w:t xml:space="preserve">•  </w:t>
      </w:r>
      <w:r>
        <w:t>Brocade 32G SWL SFP+ transceiver spare modules for redundancy or replacement</w:t>
      </w:r>
    </w:p>
    <w:p>
      <w:pPr>
        <w:spacing w:after="80"/>
        <w:ind w:left="360" w:hanging="180"/>
      </w:pPr>
      <w:r>
        <w:rPr>
          <w:color w:val="00b4d8"/>
        </w:rPr>
        <w:t xml:space="preserve">•  </w:t>
      </w:r>
      <w:r>
        <w:t>Brocade 32G SWL SFP+ transceivers available for speed upgrade (port auto-sensing)</w:t>
      </w:r>
    </w:p>
    <w:p>
      <w:pPr>
        <w:spacing w:after="160"/>
      </w:pPr>
      <w:r>
        <w:t>© 2025 Hi-Network.com. All product names, logos, and brands are property of their respective owners. Specifications are subject to change without notice.</w:t>
      </w:r>
    </w:p>
    <w:sectPr>
      <w:headerReference w:type="default" r:id="R9dbda1ce122944cf"/>
      <w:footerReference w:type="default" r:id="Rd8040283dcb7408b"/>
      <w:pgSz w:w="11906" w:h="16838"/>
      <w:pgMar w:top="1800" w:right="1440" w:bottom="1440" w:left="1440" w:header="720" w:footer="720"/>
    </w:sectPr>
  </w:body>
</w:document>
</file>

<file path=word/footer1.xml><?xml version="1.0" encoding="utf-8"?>
<w:ftr xmlns:w="http://schemas.openxmlformats.org/wordprocessingml/2006/main">
  <w:p>
    <w:pPr>
      <w:jc w:val="center"/>
    </w:pPr>
    <w:r>
      <w:rPr>
        <w:color w:val="718096"/>
        <w:sz w:val="16"/>
      </w:rPr>
      <w:t xml:space="preserve">Hi-Network.com  |  info@hi-network.com</w:t>
    </w:r>
    <w:r>
      <w:rPr>
        <w:color w:val="718096"/>
        <w:sz w:val="16"/>
      </w:rPr>
      <w:t xml:space="preserve">    Page </w:t>
    </w:r>
    <w:r>
      <w:rPr>
        <w:color w:val="718096"/>
        <w:sz w:val="16"/>
      </w:rPr>
      <w:fldChar w:fldCharType="begin"/>
    </w:r>
    <w:r>
      <w:rPr>
        <w:color w:val="718096"/>
        <w:sz w:val="16"/>
      </w:rPr>
      <w:instrText xml:space="preserve"> PAGE </w:instrText>
    </w:r>
    <w:r>
      <w:rPr>
        <w:color w:val="718096"/>
        <w:sz w:val="16"/>
      </w:rPr>
      <w:fldChar w:fldCharType="separate"/>
    </w:r>
    <w:r>
      <w:rPr>
        <w:color w:val="718096"/>
        <w:sz w:val="16"/>
      </w:rPr>
      <w:t>1</w:t>
    </w:r>
    <w:r>
      <w:rPr>
        <w:color w:val="718096"/>
        <w:sz w:val="16"/>
      </w:rPr>
      <w:fldChar w:fldCharType="end"/>
    </w:r>
    <w:r>
      <w:rPr>
        <w:color w:val="718096"/>
        <w:sz w:val="16"/>
      </w:rPr>
      <w:t xml:space="preserve"> of </w:t>
    </w:r>
    <w:r>
      <w:rPr>
        <w:color w:val="718096"/>
        <w:sz w:val="16"/>
      </w:rPr>
      <w:fldChar w:fldCharType="begin"/>
    </w:r>
    <w:r>
      <w:rPr>
        <w:color w:val="718096"/>
        <w:sz w:val="16"/>
      </w:rPr>
      <w:instrText xml:space="preserve"> NUMPAGES </w:instrText>
    </w:r>
    <w:r>
      <w:rPr>
        <w:color w:val="718096"/>
        <w:sz w:val="16"/>
      </w:rPr>
      <w:fldChar w:fldCharType="separate"/>
    </w:r>
    <w:r>
      <w:rPr>
        <w:color w:val="718096"/>
        <w:sz w:val="16"/>
      </w:rPr>
      <w:t>1</w:t>
    </w:r>
    <w:r>
      <w:rPr>
        <w:color w:val="718096"/>
        <w:sz w:val="16"/>
      </w:rPr>
      <w:fldChar w:fldCharType="end"/>
    </w:r>
  </w:p>
</w:ftr>
</file>

<file path=word/header1.xml><?xml version="1.0" encoding="utf-8"?>
<w:hdr xmlns:a="http://schemas.openxmlformats.org/drawingml/2006/main" xmlns:pic="http://schemas.openxmlformats.org/drawingml/2006/picture" xmlns:r="http://schemas.openxmlformats.org/officeDocument/2006/relationships" xmlns:w="http://schemas.openxmlformats.org/wordprocessingml/2006/main" xmlns:wp="http://schemas.openxmlformats.org/drawingml/2006/wordprocessingDrawing">
  <w:p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60000" cy="10692000"/>
          <wp:effectExtent l="0" t="0" r="0" b="0"/>
          <wp:wrapNone/>
          <wp:docPr id="2" name="BodyB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0" name="BodyBg.png"/>
                  <pic:cNvPicPr/>
                </pic:nvPicPr>
                <pic:blipFill>
                  <a:blip r:embed="Red4ed22848744033"/>
                  <a:stretch>
                    <a:fillRect/>
                  </a:stretch>
                </pic:blipFill>
                <pic:spPr>
                  <a:xfrm>
                    <a:off x="0" y="0"/>
                    <a:ext cx="7560000" cy="10692000"/>
                  </a:xfrm>
                  <a:prstGeom prst="rect"/>
                </pic:spPr>
              </pic:pic>
            </a:graphicData>
          </a:graphic>
        </wp:anchor>
      </w:drawing>
    </w:r>
  </w:p>
  <w:p>
    <w:pPr>
      <w:jc w:val="right"/>
    </w:pPr>
    <w:r>
      <w:rPr>
        <w:color w:val="718096"/>
        <w:sz w:val="16"/>
      </w:rPr>
      <w:t>BR-G610-24-32G-0 | Brocade G610 Switch</w:t>
    </w:r>
  </w:p>
</w:hdr>
</file>

<file path=word/settings.xml><?xml version="1.0" encoding="utf-8"?>
<w:settings xmlns:w="http://schemas.openxmlformats.org/wordprocessingml/2006/main">
  <w:displayBackgroundShape/>
  <w:updateFields w:val="true"/>
</w:settings>
</file>

<file path=word/styles.xml><?xml version="1.0" encoding="utf-8"?>
<w:styles xmlns:w="http://schemas.openxmlformats.org/wordprocessingml/2006/main">
  <w:style w:type="paragraph" w:styleId="Normal" w:default="true">
    <w:name w:val="Normal"/>
    <w:pPr>
      <w:spacing w:after="160" w:line="288" w:lineRule="auto"/>
    </w:pPr>
    <w:rPr>
      <w:rFonts w:ascii="Calibri" w:hAnsi="Calibri" w:eastAsia="Microsoft YaHei"/>
      <w:color w:val="1a1a2e"/>
      <w:sz w:val="21"/>
    </w:rPr>
  </w:style>
  <w:style w:type="paragraph" w:styleId="Heading1">
    <w:name w:val="heading 1"/>
    <w:basedOn w:val="Normal"/>
    <w:pPr>
      <w:keepNext/>
      <w:keepLines/>
      <w:spacing w:before="480" w:after="200"/>
      <w:outlineLvl w:val="0"/>
    </w:pPr>
    <w:rPr>
      <w:rFonts w:ascii="Calibri" w:hAnsi="Calibri" w:eastAsia="Microsoft YaHei"/>
      <w:b/>
      <w:color w:val="0077b6"/>
      <w:sz w:val="36"/>
    </w:rPr>
  </w:style>
  <w:style w:type="paragraph" w:styleId="Heading2">
    <w:name w:val="heading 2"/>
    <w:basedOn w:val="Normal"/>
    <w:pPr>
      <w:keepNext/>
      <w:keepLines/>
      <w:spacing w:before="360" w:after="140"/>
      <w:outlineLvl w:val="1"/>
    </w:pPr>
    <w:rPr>
      <w:rFonts w:ascii="Calibri" w:hAnsi="Calibri" w:eastAsia="Microsoft YaHei"/>
      <w:b/>
      <w:color w:val="1a1a2e"/>
      <w:sz w:val="28"/>
    </w:rPr>
  </w:style>
  <w:style w:type="paragraph" w:styleId="Heading3">
    <w:name w:val="heading 3"/>
    <w:basedOn w:val="Normal"/>
    <w:pPr>
      <w:keepNext/>
      <w:keepLines/>
      <w:spacing w:before="240" w:after="100"/>
      <w:outlineLvl w:val="2"/>
    </w:pPr>
    <w:rPr>
      <w:rFonts w:ascii="Calibri" w:hAnsi="Calibri" w:eastAsia="Microsoft YaHei"/>
      <w:b/>
      <w:color w:val="4a5568"/>
      <w:sz w:val="24"/>
    </w:rPr>
  </w:style>
</w:styles>
</file>

<file path=word/_rels/document.xml.rels><?xml version='1.0' encoding='UTF-8'?>
<Relationships xmlns="http://schemas.openxmlformats.org/package/2006/relationships"><Relationship Type="http://schemas.openxmlformats.org/officeDocument/2006/relationships/styles" Target="styles.xml" Id="R2109d937f5894ac8" /><Relationship Type="http://schemas.openxmlformats.org/officeDocument/2006/relationships/image" Target="media/image.png" Id="R413df8f8c29d423d" /><Relationship Type="http://schemas.openxmlformats.org/officeDocument/2006/relationships/header" Target="header1.xml" Id="R9dbda1ce122944cf" /><Relationship Type="http://schemas.openxmlformats.org/officeDocument/2006/relationships/footer" Target="footer1.xml" Id="Rd8040283dcb7408b" /><Relationship Type="http://schemas.openxmlformats.org/officeDocument/2006/relationships/settings" Target="settings.xml" Id="R7a0870bc6ce04812" /></Relationships>
</file>

<file path=word/_rels/header1.xml.rels><?xml version='1.0' encoding='UTF-8'?>
<Relationships xmlns="http://schemas.openxmlformats.org/package/2006/relationships"><Relationship Type="http://schemas.openxmlformats.org/officeDocument/2006/relationships/image" Target="media/image2.png" Id="Red4ed22848744033" /></Relationships>
</file>