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'1.0' encoding='UTF-8'?>
<Relationships xmlns="http://schemas.openxmlformats.org/package/2006/relationships"><Relationship Type="http://schemas.openxmlformats.org/officeDocument/2006/relationships/officeDocument" Target="word/document.xml" Id="R34ab30372752441e" /></Relationships>
</file>

<file path=word/document.xml><?xml version="1.0" encoding="utf-8"?>
<w:document xmlns:a="http://schemas.openxmlformats.org/drawingml/2006/main" xmlns:pic="http://schemas.openxmlformats.org/drawingml/2006/picture" xmlns:r="http://schemas.openxmlformats.org/officeDocument/2006/relationships" xmlns:w="http://schemas.openxmlformats.org/wordprocessingml/2006/main" xmlns:wp="http://schemas.openxmlformats.org/drawingml/2006/wordprocessingDrawing">
  <w:body>
    <w:p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1" name="CoverB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Bg.png"/>
                    <pic:cNvPicPr/>
                  </pic:nvPicPr>
                  <pic:blipFill>
                    <a:blip r:embed="Rd9eea677e81842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before="3600"/>
      </w:pPr>
      <w:r/>
    </w:p>
    <w:p>
      <w:pPr>
        <w:spacing w:after="200"/>
        <w:ind w:left="1200" w:right="1200"/>
        <w:jc w:val="left"/>
      </w:pPr>
      <w:r>
        <w:rPr>
          <w:rFonts w:ascii="Arial" w:hAnsi="Arial"/>
          <w:color w:val="2563eb"/>
          <w:spacing w:val="60"/>
          <w:sz w:val="28"/>
        </w:rPr>
        <w:t>BROCADE GEN 6 FIBRE CHANNEL SWITCH</w:t>
      </w:r>
    </w:p>
    <w:p>
      <w:pPr>
        <w:spacing w:after="120"/>
        <w:ind w:left="1200" w:right="1200"/>
        <w:jc w:val="left"/>
      </w:pPr>
      <w:r>
        <w:rPr>
          <w:rFonts w:ascii="Arial" w:hAnsi="Arial"/>
          <w:b/>
          <w:color w:val="e2e8f0"/>
          <w:spacing w:val="40"/>
          <w:sz w:val="72"/>
        </w:rPr>
        <w:t>BR-G620-24-16G-R</w:t>
      </w:r>
    </w:p>
    <w:p>
      <w:pPr>
        <w:spacing w:after="400"/>
        <w:ind w:left="1200"/>
      </w:pPr>
      <w:r>
        <w:rPr>
          <w:color w:val="f59e0b"/>
        </w:rPr>
        <w:t>______________________________________________________</w:t>
      </w:r>
    </w:p>
    <w:p>
      <w:pPr>
        <w:spacing w:after="600" w:line="320" w:lineRule="auto"/>
        <w:ind w:left="1200" w:right="1400"/>
        <w:jc w:val="left"/>
      </w:pPr>
      <w:r>
        <w:rPr>
          <w:rFonts w:ascii="Arial" w:hAnsi="Arial"/>
          <w:color w:val="94a3b8"/>
          <w:sz w:val="24"/>
        </w:rPr>
        <w:t>64-Port Switch with 24 Active Ports and 24 Brocade 16Gb/s Shortwave Multi-mode SFP Modules</w:t>
      </w:r>
    </w:p>
    <w:p>
      <w:pPr>
        <w:spacing w:after="120"/>
        <w:ind w:left="1200"/>
      </w:pPr>
      <w:r>
        <w:rPr>
          <w:rFonts w:ascii="Arial" w:hAnsi="Arial"/>
          <w:color w:val="e2e8f0"/>
          <w:sz w:val="22"/>
        </w:rPr>
        <w:t>2 Tbps Aggregate Bandwidth  |  Gen 6 Fibre Channel  |  1U Rack-mountable</w:t>
      </w:r>
    </w:p>
    <w:p>
      <w:pPr>
        <w:spacing w:after="3000"/>
        <w:ind w:left="1200"/>
      </w:pPr>
      <w:r>
        <w:rPr>
          <w:rFonts w:ascii="Arial" w:hAnsi="Arial"/>
          <w:color w:val="475569"/>
          <w:sz w:val="20"/>
        </w:rPr>
        <w:t>Port-side Exhaust  |  Dual Redundant Hot-swappable Power Supplies</w:t>
      </w:r>
    </w:p>
    <w:p>
      <w:pPr>
        <w:spacing w:after="80"/>
        <w:ind w:left="1200"/>
        <w:jc w:val="left"/>
      </w:pPr>
      <w:r>
        <w:rPr>
          <w:rFonts w:ascii="Arial" w:hAnsi="Arial"/>
          <w:b/>
          <w:color w:val="e2e8f0"/>
          <w:sz w:val="22"/>
        </w:rPr>
        <w:t>Hi-Network.com</w:t>
      </w:r>
    </w:p>
    <w:p>
      <w:pPr>
        <w:ind w:left="1200"/>
        <w:jc w:val="left"/>
      </w:pPr>
      <w:r>
        <w:rPr>
          <w:rFonts w:ascii="Arial" w:hAnsi="Arial"/>
          <w:color w:val="94a3b8"/>
          <w:sz w:val="18"/>
        </w:rPr>
        <w:t>info@hi-network.com</w:t>
      </w:r>
    </w:p>
    <w:p>
      <w:pPr>
        <w:sectPr>
          <w:type w:val="nextPage"/>
          <w:pgSz w:w="11906" w:h="16838"/>
          <w:pgMar w:top="0" w:right="0" w:bottom="0" w:left="0" w:header="0" w:footer="0"/>
          <w:titlePg/>
        </w:sectPr>
      </w:pPr>
    </w:p>
    <w:p>
      <w:pPr>
        <w:pStyle w:val="Heading1"/>
      </w:pPr>
      <w:r>
        <w:t>Product Overview</w:t>
      </w:r>
    </w:p>
    <w:p>
      <w:pPr>
        <w:spacing w:after="160" w:line="276" w:lineRule="auto"/>
      </w:pPr>
      <w:r>
        <w:rPr>
          <w:rFonts w:ascii="Arial" w:hAnsi="Arial"/>
          <w:color w:val="1e293b"/>
          <w:sz w:val="20"/>
        </w:rPr>
        <w:t>The Brocade BR-G620-24-16G-R is an enterprise-class Gen 6 Fibre Channel switch designed to meet the demands of hyper-scale virtualization, larger cloud infrastructures, and growing flash-based storage environments. This specific configuration provides 24 active ports with 24 Brocade 16Gb/s shortwave multi-mode SFP modules in a port-side exhaust airflow design, delivering a high-density building block for increased scalability in small to large-scale enterprise infrastructures.</w:t>
      </w:r>
    </w:p>
    <w:p>
      <w:pPr>
        <w:spacing w:after="160" w:line="276" w:lineRule="auto"/>
      </w:pPr>
      <w:r>
        <w:rPr>
          <w:rFonts w:ascii="Arial" w:hAnsi="Arial"/>
          <w:color w:val="1e293b"/>
          <w:sz w:val="20"/>
        </w:rPr>
        <w:t>Delivering unmatched performance, exceptional port density, and built-in instrumentation in a space-efficient 1U form factor, the BR-G620-24-16G-R accelerates data access, adapts to evolving requirements, and drives always-on business operations for mission-critical storage area networks (SANs).</w:t>
      </w:r>
    </w:p>
    <w:p>
      <w:pPr>
        <w:pStyle w:val="Heading2"/>
      </w:pPr>
      <w:r>
        <w:t>Key Highlights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Provides high scalability in an ultra-dense, 1U, 64-port switch platform supporting high-density server virtualization, cloud architectures, and flash-based storage environments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Increases performance for demanding workloads across 32 Gbps-capable links with auto-sensing port speeds of 4, 8, 16, and 32 Gbps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Enables pay-as-you-grow scalability from 24 to 64 ports for on-demand flexibility via Ports on Demand (PoD) licenses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Provides proactive, non-intrusive, real-time monitoring and alerting of storage I/O health and performance with IO Insight integrated network sensors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Increases resiliency by automatically discovering and recovering from device or network errors through Brocade Fabric Vision technology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Includes 24 Brocade 16Gb/s shortwave multi-mode SFP modules, Web Tools, Zoning, and EGM software authorization</w:t>
      </w:r>
    </w:p>
    <w:p>
      <w:pPr>
        <w:pStyle w:val="Heading2"/>
      </w:pPr>
      <w:r>
        <w:t>Product Configuration</w:t>
      </w:r>
    </w:p>
    <w:tbl>
      <w:tblPr>
        <w:tblW w:w="5000" w:type="pct"/>
        <w:tblBorders>
          <w:top w:val="single" w:color="1e3a5f" w:sz="8"/>
          <w:left w:val="nil"/>
          <w:bottom w:val="single" w:color="1e3a5f" w:sz="8"/>
          <w:right w:val="nil"/>
          <w:insideH w:val="single" w:color="cbd5e1" w:sz="4"/>
          <w:insideV w:val="nil"/>
        </w:tblBorders>
      </w:tblPr>
      <w:tblGrid>
        <w:gridCol w:w="3600"/>
        <w:gridCol w:w="6400"/>
      </w:tblGrid>
      <w:tr>
        <w:trPr>
          <w:tblHeader/>
        </w:trPr>
        <w:tc>
          <w:tcPr>
            <w:tcW w:w="36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Feature</w:t>
            </w:r>
          </w:p>
        </w:tc>
        <w:tc>
          <w:tcPr>
            <w:tcW w:w="64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BR-G620-24-16G-R Specification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Switch Generation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Gen 6 Fibre Channel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Total Ports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64 ports (48 SFP+ + 4 QSFP)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Active Ports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24 ports with 16Gb/s SW SFP modules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Included SFP Modules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24x Brocade 16Gb/s shortwave multi-mode SFP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Port Speeds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Auto-sensing 4, 8, 16, 32 Gbps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Airflow Direction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Port-side exhaust (Rear)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Form Factor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1U rack-mountable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Software Included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Web Tools, Zoning, EGM license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Power Supplies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Dual redundant hot-swappable AC</w:t>
            </w:r>
          </w:p>
        </w:tc>
      </w:tr>
      <w:tr>
        <w:tc>
          <w:tcPr>
            <w:tcW w:w="36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Max Aggregate Bandwidth</w:t>
            </w:r>
          </w:p>
        </w:tc>
        <w:tc>
          <w:tcPr>
            <w:tcW w:w="64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 Tbps</w:t>
            </w:r>
          </w:p>
        </w:tc>
      </w:tr>
    </w:tbl>
    <w:p>
      <w:pPr>
        <w:pageBreakBefore/>
      </w:pPr>
    </w:p>
    <w:p>
      <w:pPr>
        <w:pStyle w:val="Heading1"/>
      </w:pPr>
      <w:r>
        <w:t>Technical Specifications</w:t>
      </w:r>
    </w:p>
    <w:tbl>
      <w:tblPr>
        <w:tblW w:w="5000" w:type="pct"/>
        <w:tblBorders>
          <w:top w:val="single" w:color="1e3a5f" w:sz="8"/>
          <w:left w:val="nil"/>
          <w:bottom w:val="single" w:color="1e3a5f" w:sz="8"/>
          <w:right w:val="nil"/>
          <w:insideH w:val="single" w:color="cbd5e1" w:sz="4"/>
          <w:insideV w:val="nil"/>
        </w:tblBorders>
      </w:tblPr>
      <w:tblGrid>
        <w:gridCol w:w="3800"/>
        <w:gridCol w:w="6200"/>
      </w:tblGrid>
      <w:tr>
        <w:trPr>
          <w:tblHeader/>
        </w:trPr>
        <w:tc>
          <w:tcPr>
            <w:tcW w:w="38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Parameter</w:t>
            </w:r>
          </w:p>
        </w:tc>
        <w:tc>
          <w:tcPr>
            <w:tcW w:w="62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Specification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Aggregate Bandwidth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 Tbps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Maximum Frame Size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2,112-byte payload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Frame Buffers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15,360 dynamically allocated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Maximum Fabric Latency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&lt; 780 ns (including FEC)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Compression Latency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 us per node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Classes of Service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Class 2, Class 3, Class F (inter-switch frames)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Data Traffic Types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Fabric switches supporting unicast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Port Types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F_Port, E_Port, M_Port, D_Port (ClearLink Diagnostic), EX_Port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Scalability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Full-fabric architecture, maximum 239 switches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Certified Maximum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6,000 active nodes; 56 switches, 19 hops</w:t>
            </w:r>
          </w:p>
        </w:tc>
      </w:tr>
    </w:tbl>
    <w:p>
      <w:pPr>
        <w:pStyle w:val="Heading2"/>
      </w:pPr>
      <w:r>
        <w:t>Fibre Channel Performance</w:t>
      </w:r>
    </w:p>
    <w:tbl>
      <w:tblPr>
        <w:tblW w:w="5000" w:type="pct"/>
        <w:tblBorders>
          <w:top w:val="single" w:color="1e3a5f" w:sz="8"/>
          <w:left w:val="nil"/>
          <w:bottom w:val="single" w:color="1e3a5f" w:sz="8"/>
          <w:right w:val="nil"/>
          <w:insideH w:val="single" w:color="cbd5e1" w:sz="4"/>
          <w:insideV w:val="nil"/>
        </w:tblBorders>
      </w:tblPr>
      <w:tblGrid>
        <w:gridCol w:w="3800"/>
        <w:gridCol w:w="6200"/>
      </w:tblGrid>
      <w:tr>
        <w:trPr>
          <w:tblHeader/>
        </w:trPr>
        <w:tc>
          <w:tcPr>
            <w:tcW w:w="38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Fibre Channel Speed</w:t>
            </w:r>
          </w:p>
        </w:tc>
        <w:tc>
          <w:tcPr>
            <w:tcW w:w="62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Line Rate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32 Gbps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28.05 Gb/s line speed, full duplex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16 Gbps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14.025 Gb/s line speed, full duplex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10 Gbps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10.53 Gb/s line speed, full duplex (optionally programmable to fixed)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8 Gbps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8.5 Gb/s line speed, full duplex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4 Gbps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4.25 Gb/s line speed, full duplex</w:t>
            </w:r>
          </w:p>
        </w:tc>
      </w:tr>
      <w:tr>
        <w:tc>
          <w:tcPr>
            <w:tcW w:w="38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QSFP Ports (with FOS v8.2.0+)</w:t>
            </w:r>
          </w:p>
        </w:tc>
        <w:tc>
          <w:tcPr>
            <w:tcW w:w="62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Auto-sensing 4x32/4x16/4x8/4x4 Gb/s</w:t>
            </w:r>
          </w:p>
        </w:tc>
      </w:tr>
    </w:tbl>
    <w:p>
      <w:pPr>
        <w:pageBreakBefore/>
      </w:pPr>
    </w:p>
    <w:p>
      <w:pPr>
        <w:pStyle w:val="Heading1"/>
      </w:pPr>
      <w:r>
        <w:t>Physical and Environmental Specifications</w:t>
      </w:r>
    </w:p>
    <w:tbl>
      <w:tblPr>
        <w:tblW w:w="5000" w:type="pct"/>
        <w:tblBorders>
          <w:top w:val="single" w:color="1e3a5f" w:sz="8"/>
          <w:left w:val="nil"/>
          <w:bottom w:val="single" w:color="1e3a5f" w:sz="8"/>
          <w:right w:val="nil"/>
          <w:insideH w:val="single" w:color="cbd5e1" w:sz="4"/>
          <w:insideV w:val="nil"/>
        </w:tblBorders>
      </w:tblPr>
      <w:tblGrid>
        <w:gridCol w:w="4000"/>
        <w:gridCol w:w="6000"/>
      </w:tblGrid>
      <w:tr>
        <w:trPr>
          <w:tblHeader/>
        </w:trPr>
        <w:tc>
          <w:tcPr>
            <w:tcW w:w="4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Parameter</w:t>
            </w:r>
          </w:p>
        </w:tc>
        <w:tc>
          <w:tcPr>
            <w:tcW w:w="6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Specification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Width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440.0 mm (17.32 in.)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Height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43.9 mm (1.73 in.)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Depth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355.6 mm (14.00 in.)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Weight (without transceivers)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7.07 kg (15.59 lb)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Weight (fully populated)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8.41 kg (18.54 lb)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Operating Temperature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0°C to 40°C (32°F to 104°F)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Operating Humidity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10% to 85% (non-condensing)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Non-operating Temperature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-25°C to 70°C (-13°F to 158°F)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Non-operating Humidity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10% to 90% (non-condensing)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Operating Altitude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Up to 3,000 m (9,843 ft)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Storage Altitude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Up to 12 km (39,370 ft)</w:t>
            </w:r>
          </w:p>
        </w:tc>
      </w:tr>
    </w:tbl>
    <w:p>
      <w:pPr>
        <w:pStyle w:val="Heading2"/>
      </w:pPr>
      <w:r>
        <w:t>Power Specifications</w:t>
      </w:r>
    </w:p>
    <w:tbl>
      <w:tblPr>
        <w:tblW w:w="5000" w:type="pct"/>
        <w:tblBorders>
          <w:top w:val="single" w:color="1e3a5f" w:sz="8"/>
          <w:left w:val="nil"/>
          <w:bottom w:val="single" w:color="1e3a5f" w:sz="8"/>
          <w:right w:val="nil"/>
          <w:insideH w:val="single" w:color="cbd5e1" w:sz="4"/>
          <w:insideV w:val="nil"/>
        </w:tblBorders>
      </w:tblPr>
      <w:tblGrid>
        <w:gridCol w:w="4000"/>
        <w:gridCol w:w="6000"/>
      </w:tblGrid>
      <w:tr>
        <w:trPr>
          <w:tblHeader/>
        </w:trPr>
        <w:tc>
          <w:tcPr>
            <w:tcW w:w="4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Parameter</w:t>
            </w:r>
          </w:p>
        </w:tc>
        <w:tc>
          <w:tcPr>
            <w:tcW w:w="6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Specification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Power Supplies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Dual, hot-swappable redundant with integrated cooling fans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AC Input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90V to 264V ~, maximum input current 3.5A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Input Line Frequency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47 Hz to 63 Hz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Power Consumption (empty chassis)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85W (no optics)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Power Consumption (fully populated)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Maximum 205W (48x 32G SFP+ + 4x 4x32G QSFP)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Frame-based ISL Trunking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256 Gb/s (optional)</w:t>
            </w:r>
          </w:p>
        </w:tc>
      </w:tr>
    </w:tbl>
    <w:p>
      <w:pPr>
        <w:pStyle w:val="Heading2"/>
      </w:pPr>
      <w:r>
        <w:t>Port Configuration Details</w:t>
      </w:r>
    </w:p>
    <w:p>
      <w:pPr>
        <w:spacing w:after="160" w:line="276" w:lineRule="auto"/>
      </w:pPr>
      <w:r>
        <w:rPr>
          <w:rFonts w:ascii="Arial" w:hAnsi="Arial"/>
          <w:color w:val="1e293b"/>
          <w:sz w:val="20"/>
        </w:rPr>
        <w:t>The BR-G620-24-16G-R ships with 24 active Fibre Channel ports enabled. The switch chassis supports a maximum of 64 ports (48 SFP+ ports and 4 QSFP ports). Additional ports are enabled through 12-port SFP+ increments via Ports on Demand (PoD) licenses and through one 4-port QSFP PoD, providing 16-port increments through a Q-Flex license.</w:t>
      </w:r>
    </w:p>
    <w:p>
      <w:pPr>
        <w:spacing w:after="160" w:line="276" w:lineRule="auto"/>
      </w:pPr>
      <w:r>
        <w:rPr>
          <w:rFonts w:ascii="Arial" w:hAnsi="Arial"/>
          <w:color w:val="1e293b"/>
          <w:sz w:val="20"/>
        </w:rPr>
        <w:t>Port types supported: E_Ports, F_Ports, M_Ports, D_Ports (ClearLink Diagnostic Port), and EX_Ports. In Brocade Access Gateway mode, the switch supports 40 SFP+ F_Ports and 8 SFP+ N_Ports.</w:t>
      </w:r>
    </w:p>
    <w:p>
      <w:pPr>
        <w:pageBreakBefore/>
      </w:pPr>
    </w:p>
    <w:p>
      <w:pPr>
        <w:pStyle w:val="Heading1"/>
      </w:pPr>
      <w:r>
        <w:t>Scalability and Management</w:t>
      </w:r>
    </w:p>
    <w:tbl>
      <w:tblPr>
        <w:tblW w:w="5000" w:type="pct"/>
        <w:tblBorders>
          <w:top w:val="single" w:color="1e3a5f" w:sz="8"/>
          <w:left w:val="nil"/>
          <w:bottom w:val="single" w:color="1e3a5f" w:sz="8"/>
          <w:right w:val="nil"/>
          <w:insideH w:val="single" w:color="cbd5e1" w:sz="4"/>
          <w:insideV w:val="nil"/>
        </w:tblBorders>
      </w:tblPr>
      <w:tblGrid>
        <w:gridCol w:w="4000"/>
        <w:gridCol w:w="6000"/>
      </w:tblGrid>
      <w:tr>
        <w:trPr>
          <w:tblHeader/>
        </w:trPr>
        <w:tc>
          <w:tcPr>
            <w:tcW w:w="4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Parameter</w:t>
            </w:r>
          </w:p>
        </w:tc>
        <w:tc>
          <w:tcPr>
            <w:tcW w:w="6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Capability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Fabric Architecture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Full-fabric, maximum 239 switches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Access Gateway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Supports Brocade Access Gateway mode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FICON Support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Supported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ISL Trunking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Up to 8x 32 Gbps SFP+ per trunk; up to 2x 128 Gbps QSFP per trunk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Port Expansion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12-port SFP+ increments via PoD licenses; 4-port QSFP via Q-Flex license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Management Interfaces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RJ-45 Ethernet, in-band FC, serial RJ-45, USB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Vibration (Operating)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0.5 g sine, 0.4 grms random, 5 to 500 Hz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Vibration (Non-operating)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2.0 g sine, 1.1 grms random, 5 to 500 Hz</w:t>
            </w:r>
          </w:p>
        </w:tc>
      </w:tr>
    </w:tbl>
    <w:p>
      <w:pPr>
        <w:pStyle w:val="Heading2"/>
      </w:pPr>
      <w:r>
        <w:t>Management and Monitoring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Management Access: 10/100/1000 Mbps Ethernet (RJ-45), in-band over Fibre Channel, serial port (RJ-45), and one USB port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USB Port: One USB port for system log file downloads or firmware upgrades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ISL Trunking: Frame-based trunking with up to eight 32 Gbps SFP+ ports per ISL trunk or up to two 128 Gbps QSFP ports per ISL trunk; exchange-based load balancing across ISLs with DPS included in Brocade Fabric OS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Brocade Fabric Vision Technology: Simplifies administration, quickly resolves problems, increases uptime, and reduces costs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VM Insight: Enables Virtual Machine (VM) visibility in a storage fabric to monitor and optimize VM performance</w:t>
      </w:r>
    </w:p>
    <w:p>
      <w:pPr>
        <w:spacing w:after="100"/>
        <w:ind w:left="360" w:hanging="180"/>
      </w:pPr>
      <w:r>
        <w:rPr>
          <w:rFonts w:ascii="Arial" w:hAnsi="Arial"/>
          <w:color w:val="2563eb"/>
          <w:sz w:val="20"/>
        </w:rPr>
        <w:t xml:space="preserve">•  </w:t>
      </w:r>
      <w:r>
        <w:rPr>
          <w:rFonts w:ascii="Arial" w:hAnsi="Arial"/>
          <w:color w:val="1e293b"/>
          <w:sz w:val="20"/>
        </w:rPr>
        <w:t>IO Insight: Industry's first integrated network sensors for proactive, real-time monitoring and alerting of storage I/O health and performance</w:t>
      </w:r>
    </w:p>
    <w:p>
      <w:pPr>
        <w:pStyle w:val="Heading2"/>
      </w:pPr>
      <w:r>
        <w:t>Standards Compliance</w:t>
      </w:r>
    </w:p>
    <w:p>
      <w:pPr>
        <w:spacing w:after="160" w:line="276" w:lineRule="auto"/>
      </w:pPr>
      <w:r>
        <w:rPr>
          <w:rFonts w:ascii="Arial" w:hAnsi="Arial"/>
          <w:color w:val="1e293b"/>
          <w:sz w:val="20"/>
        </w:rPr>
        <w:t>Certifications: CE, SA, KCC. The Brocade G620 switch meets RoHS Directive requirements. The switch supports Brocade Fabric OS and is certified for up to 6,000 active nodes in a single fabric with up to 56 switches and 19 hops.</w:t>
      </w:r>
    </w:p>
    <w:p>
      <w:pPr>
        <w:pStyle w:val="Heading2"/>
      </w:pPr>
      <w:r>
        <w:t>Ordering Information</w:t>
      </w:r>
    </w:p>
    <w:tbl>
      <w:tblPr>
        <w:tblW w:w="5000" w:type="pct"/>
        <w:tblBorders>
          <w:top w:val="single" w:color="1e3a5f" w:sz="8"/>
          <w:left w:val="nil"/>
          <w:bottom w:val="single" w:color="1e3a5f" w:sz="8"/>
          <w:right w:val="nil"/>
          <w:insideH w:val="single" w:color="cbd5e1" w:sz="4"/>
          <w:insideV w:val="nil"/>
        </w:tblBorders>
      </w:tblPr>
      <w:tblGrid>
        <w:gridCol w:w="4000"/>
        <w:gridCol w:w="6000"/>
      </w:tblGrid>
      <w:tr>
        <w:trPr>
          <w:tblHeader/>
        </w:trPr>
        <w:tc>
          <w:tcPr>
            <w:tcW w:w="4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Item</w:t>
            </w:r>
          </w:p>
        </w:tc>
        <w:tc>
          <w:tcPr>
            <w:tcW w:w="6000" w:type="dxa"/>
            <w:tcBorders>
              <w:bottom w:val="single" w:color="1e3a5f" w:sz="6"/>
            </w:tcBorders>
            <w:shd w:val="clear" w:fill="f1f5f9"/>
          </w:tcPr>
          <w:p>
            <w:pPr>
              <w:spacing w:before="60" w:after="60"/>
            </w:pPr>
            <w:r>
              <w:rPr>
                <w:rFonts w:ascii="Arial" w:hAnsi="Arial"/>
                <w:b/>
                <w:color w:val="1e293b"/>
                <w:sz w:val="19"/>
              </w:rPr>
              <w:t>Description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Base Model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BR-G620-24-16G-R: 64-port switch, 24-port activation, 24x 16Gb/s SW SFP, port-side exhaust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12-Port Upgrade Kit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XBR-SMED12POD-16G: 12-port PoD with 12x 16Gb/s SW SFP modules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8-Port Upgrade Kit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XBR-SMED8PTPOD-16G: 8-port PoD with 8x 16Gb/s SW SFP modules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Rack Mount Kit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XBR-R000296: Rack mount kit for 1U installation</w:t>
            </w:r>
          </w:p>
        </w:tc>
      </w:tr>
      <w:tr>
        <w:tc>
          <w:tcPr>
            <w:tcW w:w="4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USB Flash Drive</w:t>
            </w:r>
          </w:p>
        </w:tc>
        <w:tc>
          <w:tcPr>
            <w:tcW w:w="6000" w:type="dxa"/>
          </w:tcPr>
          <w:p>
            <w:pPr>
              <w:spacing w:before="60" w:after="60"/>
            </w:pPr>
            <w:r>
              <w:rPr>
                <w:rFonts w:ascii="Arial" w:hAnsi="Arial"/>
                <w:color w:val="475569"/>
                <w:sz w:val="19"/>
              </w:rPr>
              <w:t>XBR-USB-4GB: 4GB USB flash drive for firmware and logs</w:t>
            </w:r>
          </w:p>
        </w:tc>
      </w:tr>
    </w:tbl>
    <w:p>
      <w:pPr>
        <w:sectPr>
          <w:headerReference w:type="default" r:id="Rfb8106d9c67a49af"/>
          <w:footerReference w:type="default" r:id="Raa9675ed679041e9"/>
          <w:pgSz w:w="11906" w:h="16838"/>
          <w:pgMar w:top="1440" w:right="1200" w:bottom="1200" w:left="1200" w:header="600" w:footer="600"/>
        </w:sectPr>
      </w:pPr>
    </w:p>
    <w:p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000" cy="10692000"/>
            <wp:effectExtent l="0" t="0" r="0" b="0"/>
            <wp:wrapNone/>
            <wp:docPr id="2" name="BackB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BackBg.png"/>
                    <pic:cNvPicPr/>
                  </pic:nvPicPr>
                  <pic:blipFill>
                    <a:blip r:embed="R0525f62e6237409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spacing w:before="5500"/>
      </w:pPr>
      <w:r/>
    </w:p>
    <w:p>
      <w:pPr>
        <w:spacing w:after="200"/>
        <w:jc w:val="center"/>
      </w:pPr>
      <w:r>
        <w:rPr>
          <w:rFonts w:ascii="Arial" w:hAnsi="Arial"/>
          <w:b/>
          <w:color w:val="e2e8f0"/>
          <w:spacing w:val="40"/>
          <w:sz w:val="52"/>
        </w:rPr>
        <w:t>Hi-Network.com</w:t>
      </w:r>
    </w:p>
    <w:p>
      <w:pPr>
        <w:spacing w:after="600"/>
        <w:jc w:val="center"/>
      </w:pPr>
      <w:r>
        <w:rPr>
          <w:rFonts w:ascii="Arial" w:hAnsi="Arial"/>
          <w:color w:val="94a3b8"/>
          <w:sz w:val="24"/>
        </w:rPr>
        <w:t>Your Trusted Network Equipment Partner</w:t>
      </w:r>
    </w:p>
    <w:p>
      <w:pPr>
        <w:spacing w:after="400"/>
        <w:jc w:val="center"/>
      </w:pPr>
      <w:r>
        <w:rPr>
          <w:color w:val="f59e0b"/>
        </w:rPr>
        <w:t>______________________________</w:t>
      </w:r>
    </w:p>
    <w:p>
      <w:pPr>
        <w:spacing w:after="80"/>
        <w:jc w:val="center"/>
      </w:pPr>
      <w:r>
        <w:rPr>
          <w:rFonts w:ascii="Arial" w:hAnsi="Arial"/>
          <w:color w:val="e2e8f0"/>
          <w:sz w:val="22"/>
        </w:rPr>
        <w:t>Email: info@hi-network.com</w:t>
      </w:r>
    </w:p>
    <w:p>
      <w:pPr>
        <w:spacing w:after="80"/>
        <w:jc w:val="center"/>
      </w:pPr>
      <w:r>
        <w:rPr>
          <w:rFonts w:ascii="Arial" w:hAnsi="Arial"/>
          <w:color w:val="e2e8f0"/>
          <w:sz w:val="22"/>
        </w:rPr>
        <w:t>Web: www.Hi-Network.com</w:t>
      </w:r>
    </w:p>
    <w:p>
      <w:pPr>
        <w:spacing w:after="2000"/>
        <w:jc w:val="center"/>
      </w:pPr>
      <w:r>
        <w:rPr>
          <w:rFonts w:ascii="Arial" w:hAnsi="Arial"/>
          <w:color w:val="94a3b8"/>
          <w:sz w:val="20"/>
        </w:rPr>
        <w:t>Brocade BR-G620-24-16G-R Technical Datasheet</w:t>
      </w:r>
    </w:p>
    <w:p>
      <w:pPr>
        <w:jc w:val="center"/>
      </w:pPr>
      <w:r>
        <w:rPr>
          <w:rFonts w:ascii="Arial" w:hAnsi="Arial"/>
          <w:color w:val="475569"/>
          <w:sz w:val="16"/>
        </w:rPr>
        <w:t>All trademarks are property of their respective owners. Specifications subject to change without notice.</w:t>
      </w:r>
    </w:p>
    <w:sectPr>
      <w:pgSz w:w="11906" w:h="16838"/>
      <w:pgMar w:top="0" w:right="0" w:bottom="0" w:left="0" w:header="0" w:footer="0"/>
    </w:sectPr>
  </w:body>
</w:document>
</file>

<file path=word/footer1.xml><?xml version="1.0" encoding="utf-8"?>
<w:ftr xmlns:w="http://schemas.openxmlformats.org/wordprocessingml/2006/main">
  <w:p>
    <w:pPr>
      <w:jc w:val="center"/>
    </w:pPr>
    <w:r>
      <w:rPr>
        <w:rFonts w:ascii="Arial" w:hAnsi="Arial"/>
        <w:color w:val="475569"/>
        <w:sz w:val="16"/>
      </w:rPr>
      <w:t>Hi-Network.com  |  info@hi-network.com</w:t>
    </w:r>
    <w:r>
      <w:rPr>
        <w:color w:val="94a3b8"/>
        <w:sz w:val="16"/>
      </w:rPr>
      <w:t xml:space="preserve">  |  Page </w:t>
    </w:r>
    <w:r>
      <w:rPr>
        <w:color w:val="475569"/>
        <w:sz w:val="16"/>
      </w:rPr>
      <w:fldChar w:fldCharType="begin"/>
    </w:r>
    <w:r>
      <w:rPr>
        <w:color w:val="475569"/>
        <w:sz w:val="16"/>
      </w:rPr>
      <w:instrText xml:space="preserve"> PAGE </w:instrText>
    </w:r>
    <w:r>
      <w:rPr>
        <w:color w:val="475569"/>
        <w:sz w:val="16"/>
      </w:rPr>
      <w:fldChar w:fldCharType="separate"/>
    </w:r>
    <w:r>
      <w:rPr>
        <w:color w:val="475569"/>
        <w:sz w:val="16"/>
      </w:rPr>
      <w:t>1</w:t>
    </w:r>
    <w:r>
      <w:rPr>
        <w:color w:val="475569"/>
        <w:sz w:val="16"/>
      </w:rPr>
      <w:fldChar w:fldCharType="end"/>
    </w:r>
  </w:p>
</w:ftr>
</file>

<file path=word/header1.xml><?xml version="1.0" encoding="utf-8"?>
<w:hdr xmlns:w="http://schemas.openxmlformats.org/wordprocessingml/2006/main">
  <w:p>
    <w:pPr>
      <w:jc w:val="right"/>
    </w:pPr>
    <w:r>
      <w:rPr>
        <w:rFonts w:ascii="Arial" w:hAnsi="Arial"/>
        <w:color w:val="94a3b8"/>
        <w:sz w:val="16"/>
      </w:rPr>
      <w:t>BR-G620-24-16G-R Technical Datasheet</w:t>
    </w:r>
  </w:p>
</w:hdr>
</file>

<file path=word/settings.xml><?xml version="1.0" encoding="utf-8"?>
<w:settings xmlns:w="http://schemas.openxmlformats.org/wordprocessingml/2006/main">
  <w:displayBackgroundShape/>
  <w:updateFields w:val="true"/>
</w:settings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76" w:lineRule="auto"/>
    </w:pPr>
    <w:rPr>
      <w:rFonts w:ascii="Arial" w:hAnsi="Arial" w:eastAsia="Microsoft YaHei"/>
      <w:color w:val="1e293b"/>
      <w:sz w:val="20"/>
    </w:rPr>
  </w:style>
  <w:style w:type="paragraph" w:styleId="Heading1">
    <w:name w:val="heading 1"/>
    <w:basedOn w:val="Normal"/>
    <w:pPr>
      <w:keepNext/>
      <w:keepLines/>
      <w:spacing w:before="400" w:after="200"/>
      <w:outlineLvl w:val="0"/>
    </w:pPr>
    <w:rPr>
      <w:rFonts w:ascii="Arial" w:hAnsi="Arial" w:eastAsia="Microsoft YaHei"/>
      <w:b/>
      <w:color w:val="1e3a5f"/>
      <w:sz w:val="36"/>
    </w:rPr>
  </w:style>
  <w:style w:type="paragraph" w:styleId="Heading2">
    <w:name w:val="heading 2"/>
    <w:basedOn w:val="Normal"/>
    <w:pPr>
      <w:keepNext/>
      <w:keepLines/>
      <w:spacing w:before="300" w:after="120"/>
      <w:outlineLvl w:val="1"/>
    </w:pPr>
    <w:rPr>
      <w:rFonts w:ascii="Arial" w:hAnsi="Arial" w:eastAsia="Microsoft YaHei"/>
      <w:b/>
      <w:color w:val="1e3a5f"/>
      <w:sz w:val="28"/>
    </w:rPr>
  </w:style>
  <w:style w:type="paragraph" w:styleId="Heading3">
    <w:name w:val="heading 3"/>
    <w:basedOn w:val="Normal"/>
    <w:pPr>
      <w:keepNext/>
      <w:keepLines/>
      <w:spacing w:before="200" w:after="80"/>
      <w:outlineLvl w:val="2"/>
    </w:pPr>
    <w:rPr>
      <w:rFonts w:ascii="Arial" w:hAnsi="Arial" w:eastAsia="Microsoft YaHei"/>
      <w:b/>
      <w:color w:val="475569"/>
      <w:sz w:val="24"/>
    </w:rPr>
  </w:style>
</w:styles>
</file>

<file path=word/_rels/document.xml.rels><?xml version='1.0' encoding='UTF-8'?>
<Relationships xmlns="http://schemas.openxmlformats.org/package/2006/relationships"><Relationship Type="http://schemas.openxmlformats.org/officeDocument/2006/relationships/styles" Target="styles.xml" Id="R98576a42269141e2" /><Relationship Type="http://schemas.openxmlformats.org/officeDocument/2006/relationships/image" Target="media/image.png" Id="Rd9eea677e81842d9" /><Relationship Type="http://schemas.openxmlformats.org/officeDocument/2006/relationships/image" Target="media/image2.png" Id="R0525f62e62374095" /><Relationship Type="http://schemas.openxmlformats.org/officeDocument/2006/relationships/header" Target="header1.xml" Id="Rfb8106d9c67a49af" /><Relationship Type="http://schemas.openxmlformats.org/officeDocument/2006/relationships/footer" Target="footer1.xml" Id="Raa9675ed679041e9" /><Relationship Type="http://schemas.openxmlformats.org/officeDocument/2006/relationships/settings" Target="settings.xml" Id="Re75d52c690a74d37" /></Relationships>
</file>